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3604F" w14:textId="77777777" w:rsidR="00CC11BE" w:rsidRPr="00D0735B" w:rsidRDefault="00031934" w:rsidP="002D03C2">
      <w:pPr>
        <w:shd w:val="clear" w:color="auto" w:fill="FFFFFF"/>
        <w:spacing w:after="0" w:line="312" w:lineRule="auto"/>
        <w:jc w:val="both"/>
        <w:rPr>
          <w:rFonts w:eastAsia="Times New Roman" w:cstheme="minorHAnsi"/>
          <w:bCs/>
          <w:lang w:eastAsia="nl-NL"/>
        </w:rPr>
      </w:pPr>
      <w:r w:rsidRPr="00D0735B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D1E4579" wp14:editId="3D5C3329">
            <wp:simplePos x="0" y="0"/>
            <wp:positionH relativeFrom="column">
              <wp:posOffset>6350</wp:posOffset>
            </wp:positionH>
            <wp:positionV relativeFrom="paragraph">
              <wp:posOffset>-481330</wp:posOffset>
            </wp:positionV>
            <wp:extent cx="1240155" cy="565785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23E" w:rsidRPr="00D0735B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523892F" wp14:editId="0F528906">
            <wp:simplePos x="0" y="0"/>
            <wp:positionH relativeFrom="column">
              <wp:posOffset>1567180</wp:posOffset>
            </wp:positionH>
            <wp:positionV relativeFrom="paragraph">
              <wp:posOffset>-243840</wp:posOffset>
            </wp:positionV>
            <wp:extent cx="1301115" cy="314325"/>
            <wp:effectExtent l="0" t="0" r="0" b="9525"/>
            <wp:wrapNone/>
            <wp:docPr id="3" name="Afbeelding 2" descr="logo KCL 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CL 1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1BE" w:rsidRPr="00D0735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C5F6074" wp14:editId="2204219A">
            <wp:simplePos x="0" y="0"/>
            <wp:positionH relativeFrom="column">
              <wp:posOffset>3138805</wp:posOffset>
            </wp:positionH>
            <wp:positionV relativeFrom="paragraph">
              <wp:posOffset>-295275</wp:posOffset>
            </wp:positionV>
            <wp:extent cx="2828925" cy="685800"/>
            <wp:effectExtent l="0" t="0" r="9525" b="0"/>
            <wp:wrapNone/>
            <wp:docPr id="1" name="Afbeelding 2" descr="cid:OLVG_La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cid:OLVG_La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27292" w14:textId="77777777" w:rsidR="00CC11BE" w:rsidRPr="00D0735B" w:rsidRDefault="00CC11BE" w:rsidP="002D03C2">
      <w:pPr>
        <w:shd w:val="clear" w:color="auto" w:fill="FFFFFF"/>
        <w:spacing w:after="0" w:line="312" w:lineRule="auto"/>
        <w:jc w:val="both"/>
        <w:rPr>
          <w:rFonts w:eastAsia="Times New Roman" w:cstheme="minorHAnsi"/>
          <w:bCs/>
          <w:lang w:eastAsia="nl-NL"/>
        </w:rPr>
      </w:pPr>
    </w:p>
    <w:p w14:paraId="70120388" w14:textId="77777777" w:rsidR="00CC11BE" w:rsidRPr="00D0735B" w:rsidRDefault="00CC11BE" w:rsidP="002D03C2">
      <w:pPr>
        <w:shd w:val="clear" w:color="auto" w:fill="FFFFFF"/>
        <w:spacing w:after="0" w:line="312" w:lineRule="auto"/>
        <w:jc w:val="both"/>
        <w:rPr>
          <w:rFonts w:eastAsia="Times New Roman" w:cstheme="minorHAnsi"/>
          <w:bCs/>
          <w:lang w:eastAsia="nl-NL"/>
        </w:rPr>
      </w:pPr>
    </w:p>
    <w:p w14:paraId="7E1E76F5" w14:textId="77777777" w:rsidR="000F0534" w:rsidRPr="00D0735B" w:rsidRDefault="00D0735B" w:rsidP="002D03C2">
      <w:pPr>
        <w:shd w:val="clear" w:color="auto" w:fill="FFFFFF"/>
        <w:spacing w:after="0"/>
        <w:jc w:val="both"/>
        <w:rPr>
          <w:rFonts w:eastAsia="Times New Roman" w:cstheme="minorHAnsi"/>
          <w:bCs/>
          <w:lang w:eastAsia="nl-NL"/>
        </w:rPr>
      </w:pPr>
      <w:r>
        <w:rPr>
          <w:rFonts w:eastAsia="Times New Roman" w:cstheme="minorHAnsi"/>
          <w:bCs/>
          <w:lang w:eastAsia="nl-NL"/>
        </w:rPr>
        <w:t>18</w:t>
      </w:r>
      <w:r w:rsidR="000F0534" w:rsidRPr="00D0735B">
        <w:rPr>
          <w:rFonts w:eastAsia="Times New Roman" w:cstheme="minorHAnsi"/>
          <w:bCs/>
          <w:lang w:eastAsia="nl-NL"/>
        </w:rPr>
        <w:t xml:space="preserve"> </w:t>
      </w:r>
      <w:r>
        <w:rPr>
          <w:rFonts w:eastAsia="Times New Roman" w:cstheme="minorHAnsi"/>
          <w:bCs/>
          <w:lang w:eastAsia="nl-NL"/>
        </w:rPr>
        <w:t>september 2024</w:t>
      </w:r>
    </w:p>
    <w:p w14:paraId="71C68D43" w14:textId="77777777" w:rsidR="00EB7DEF" w:rsidRPr="00D0735B" w:rsidRDefault="00EB7DEF" w:rsidP="002D03C2">
      <w:pPr>
        <w:shd w:val="clear" w:color="auto" w:fill="FFFFFF"/>
        <w:spacing w:after="0"/>
        <w:jc w:val="both"/>
        <w:rPr>
          <w:rFonts w:eastAsia="Times New Roman" w:cstheme="minorHAnsi"/>
          <w:bCs/>
          <w:lang w:eastAsia="nl-NL"/>
        </w:rPr>
      </w:pPr>
    </w:p>
    <w:p w14:paraId="692631B5" w14:textId="77777777" w:rsidR="00B4066A" w:rsidRPr="00D0735B" w:rsidRDefault="00EB7DEF" w:rsidP="002D03C2">
      <w:pPr>
        <w:shd w:val="clear" w:color="auto" w:fill="FFFFFF"/>
        <w:spacing w:after="0"/>
        <w:jc w:val="both"/>
        <w:rPr>
          <w:rFonts w:eastAsia="Times New Roman" w:cstheme="minorHAnsi"/>
          <w:bCs/>
          <w:lang w:eastAsia="nl-NL"/>
        </w:rPr>
      </w:pPr>
      <w:r w:rsidRPr="00D0735B">
        <w:rPr>
          <w:rFonts w:eastAsia="Times New Roman" w:cstheme="minorHAnsi"/>
          <w:bCs/>
          <w:lang w:eastAsia="nl-NL"/>
        </w:rPr>
        <w:t xml:space="preserve">Onderwerp:  </w:t>
      </w:r>
      <w:r w:rsidR="00755CDF" w:rsidRPr="00D0735B">
        <w:rPr>
          <w:rFonts w:eastAsia="Times New Roman" w:cstheme="minorHAnsi"/>
          <w:b/>
          <w:bCs/>
          <w:lang w:eastAsia="nl-NL"/>
        </w:rPr>
        <w:t xml:space="preserve">Aanpassing  referentiewaarden </w:t>
      </w:r>
      <w:r w:rsidR="00130D52">
        <w:rPr>
          <w:rFonts w:eastAsia="Times New Roman" w:cstheme="minorHAnsi"/>
          <w:b/>
          <w:bCs/>
          <w:lang w:eastAsia="nl-NL"/>
        </w:rPr>
        <w:t>NT-pro-BNP</w:t>
      </w:r>
      <w:r w:rsidR="000F0534" w:rsidRPr="00D0735B">
        <w:rPr>
          <w:rFonts w:eastAsia="Times New Roman" w:cstheme="minorHAnsi"/>
          <w:b/>
          <w:bCs/>
          <w:lang w:eastAsia="nl-NL"/>
        </w:rPr>
        <w:t>.</w:t>
      </w:r>
    </w:p>
    <w:p w14:paraId="794DDC05" w14:textId="77777777" w:rsidR="00EB7DEF" w:rsidRPr="00D0735B" w:rsidRDefault="00EB7DEF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3AFEA1E7" w14:textId="77777777" w:rsidR="0031489E" w:rsidRPr="00D0735B" w:rsidRDefault="0031489E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5595FEF2" w14:textId="77777777" w:rsidR="0031489E" w:rsidRPr="00D0735B" w:rsidRDefault="0031489E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  <w:r w:rsidRPr="00D0735B">
        <w:rPr>
          <w:rFonts w:eastAsia="Times New Roman" w:cstheme="minorHAnsi"/>
          <w:color w:val="000000"/>
          <w:lang w:eastAsia="nl-NL"/>
        </w:rPr>
        <w:t xml:space="preserve">Geachte aanvragers, </w:t>
      </w:r>
    </w:p>
    <w:p w14:paraId="7662768F" w14:textId="77777777" w:rsidR="0031489E" w:rsidRPr="00D0735B" w:rsidRDefault="0031489E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3A6B3453" w14:textId="4AF1B379" w:rsidR="00300873" w:rsidRDefault="00F36EF8" w:rsidP="00E04E66">
      <w:pPr>
        <w:shd w:val="clear" w:color="auto" w:fill="FFFFFF"/>
        <w:spacing w:after="0"/>
        <w:rPr>
          <w:rFonts w:eastAsia="Times New Roman" w:cstheme="minorHAnsi"/>
          <w:color w:val="000000"/>
          <w:lang w:eastAsia="nl-NL"/>
        </w:rPr>
      </w:pPr>
      <w:r w:rsidRPr="00D0735B">
        <w:rPr>
          <w:rFonts w:eastAsia="Times New Roman" w:cstheme="minorHAnsi"/>
          <w:color w:val="000000"/>
          <w:lang w:eastAsia="nl-NL"/>
        </w:rPr>
        <w:t xml:space="preserve">Per </w:t>
      </w:r>
      <w:r w:rsidR="00C911EB" w:rsidRPr="00D0735B">
        <w:rPr>
          <w:rFonts w:eastAsia="Times New Roman" w:cstheme="minorHAnsi"/>
          <w:color w:val="000000"/>
          <w:lang w:eastAsia="nl-NL"/>
        </w:rPr>
        <w:t>1</w:t>
      </w:r>
      <w:r w:rsidRPr="00D0735B">
        <w:rPr>
          <w:rFonts w:eastAsia="Times New Roman" w:cstheme="minorHAnsi"/>
          <w:color w:val="000000"/>
          <w:lang w:eastAsia="nl-NL"/>
        </w:rPr>
        <w:t xml:space="preserve"> </w:t>
      </w:r>
      <w:r w:rsidR="00B80788" w:rsidRPr="00D0735B">
        <w:rPr>
          <w:rFonts w:eastAsia="Times New Roman" w:cstheme="minorHAnsi"/>
          <w:color w:val="000000"/>
          <w:lang w:eastAsia="nl-NL"/>
        </w:rPr>
        <w:t>oktober 2024</w:t>
      </w:r>
      <w:r w:rsidR="000F0534" w:rsidRPr="00D0735B">
        <w:rPr>
          <w:rFonts w:eastAsia="Times New Roman" w:cstheme="minorHAnsi"/>
          <w:color w:val="000000"/>
          <w:lang w:eastAsia="nl-NL"/>
        </w:rPr>
        <w:t xml:space="preserve"> </w:t>
      </w:r>
      <w:r w:rsidRPr="00D0735B">
        <w:rPr>
          <w:rFonts w:eastAsia="Times New Roman" w:cstheme="minorHAnsi"/>
          <w:color w:val="000000"/>
          <w:lang w:eastAsia="nl-NL"/>
        </w:rPr>
        <w:t xml:space="preserve">wordt overgegaan </w:t>
      </w:r>
      <w:r w:rsidR="00DB283D" w:rsidRPr="00D0735B">
        <w:rPr>
          <w:rFonts w:eastAsia="Times New Roman" w:cstheme="minorHAnsi"/>
          <w:color w:val="000000"/>
          <w:lang w:eastAsia="nl-NL"/>
        </w:rPr>
        <w:t xml:space="preserve">op nieuwe referentiewaarden </w:t>
      </w:r>
      <w:r w:rsidR="0090464F">
        <w:rPr>
          <w:rFonts w:eastAsia="Times New Roman" w:cstheme="minorHAnsi"/>
          <w:color w:val="000000"/>
          <w:lang w:eastAsia="nl-NL"/>
        </w:rPr>
        <w:t xml:space="preserve">en beslisgrenzen </w:t>
      </w:r>
      <w:r w:rsidR="00DB283D" w:rsidRPr="00D0735B">
        <w:rPr>
          <w:rFonts w:eastAsia="Times New Roman" w:cstheme="minorHAnsi"/>
          <w:color w:val="000000"/>
          <w:lang w:eastAsia="nl-NL"/>
        </w:rPr>
        <w:t xml:space="preserve">voor </w:t>
      </w:r>
      <w:r w:rsidR="00130D52">
        <w:rPr>
          <w:rFonts w:eastAsia="Times New Roman" w:cstheme="minorHAnsi"/>
          <w:color w:val="000000"/>
          <w:lang w:eastAsia="nl-NL"/>
        </w:rPr>
        <w:t>NT-pro-BNP voor volwassenen</w:t>
      </w:r>
      <w:r w:rsidR="00DB283D" w:rsidRPr="00D0735B">
        <w:rPr>
          <w:rFonts w:eastAsia="Times New Roman" w:cstheme="minorHAnsi"/>
          <w:color w:val="000000"/>
          <w:lang w:eastAsia="nl-NL"/>
        </w:rPr>
        <w:t>.</w:t>
      </w:r>
    </w:p>
    <w:p w14:paraId="3DC32F0A" w14:textId="77777777" w:rsidR="002A79C3" w:rsidRPr="00D0735B" w:rsidRDefault="002A79C3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937"/>
        <w:gridCol w:w="3047"/>
        <w:gridCol w:w="3048"/>
      </w:tblGrid>
      <w:tr w:rsidR="002D03C2" w:rsidRPr="00D0735B" w14:paraId="170FB9D9" w14:textId="77777777" w:rsidTr="002D03C2">
        <w:trPr>
          <w:trHeight w:val="300"/>
        </w:trPr>
        <w:tc>
          <w:tcPr>
            <w:tcW w:w="10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07924" w14:textId="77777777" w:rsidR="002D03C2" w:rsidRPr="00D0735B" w:rsidRDefault="002D03C2" w:rsidP="002D03C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Geslacht</w:t>
            </w:r>
          </w:p>
        </w:tc>
        <w:tc>
          <w:tcPr>
            <w:tcW w:w="1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3F9C6" w14:textId="77777777" w:rsidR="002D03C2" w:rsidRPr="00D0735B" w:rsidRDefault="002D03C2" w:rsidP="002D03C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Leeftijd</w:t>
            </w:r>
          </w:p>
        </w:tc>
        <w:tc>
          <w:tcPr>
            <w:tcW w:w="30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F467" w14:textId="77777777" w:rsidR="002D03C2" w:rsidRPr="00D0735B" w:rsidRDefault="002D03C2" w:rsidP="00092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 xml:space="preserve">Oude </w:t>
            </w:r>
            <w:r w:rsidR="000928F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besliswaarden (pmol/l</w:t>
            </w:r>
            <w:r w:rsidRPr="00D0735B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)</w:t>
            </w: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D43A" w14:textId="77777777" w:rsidR="002D03C2" w:rsidRPr="00D0735B" w:rsidRDefault="002D03C2" w:rsidP="00092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Nieuwe besliswaarden (</w:t>
            </w:r>
            <w:r w:rsidR="000928F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pmol/l</w:t>
            </w:r>
            <w:r w:rsidRPr="00D0735B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)</w:t>
            </w:r>
          </w:p>
        </w:tc>
      </w:tr>
      <w:tr w:rsidR="00130D52" w:rsidRPr="00D0735B" w14:paraId="7BFAFFF8" w14:textId="77777777" w:rsidTr="00130D52">
        <w:trPr>
          <w:trHeight w:val="300"/>
        </w:trPr>
        <w:tc>
          <w:tcPr>
            <w:tcW w:w="10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6836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color w:val="000000"/>
                <w:lang w:eastAsia="nl-NL"/>
              </w:rPr>
              <w:t>Vrouwen</w:t>
            </w:r>
          </w:p>
        </w:tc>
        <w:tc>
          <w:tcPr>
            <w:tcW w:w="19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FCA2A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color w:val="000000"/>
                <w:lang w:eastAsia="nl-NL"/>
              </w:rPr>
              <w:t>≥ 18 jr</w:t>
            </w:r>
          </w:p>
        </w:tc>
        <w:tc>
          <w:tcPr>
            <w:tcW w:w="304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9257" w14:textId="77777777" w:rsidR="00130D52" w:rsidRPr="00D0735B" w:rsidRDefault="000928F7" w:rsidP="00092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C86E" w14:textId="77777777" w:rsidR="00130D52" w:rsidRPr="00D0735B" w:rsidRDefault="000928F7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15</w:t>
            </w:r>
          </w:p>
        </w:tc>
      </w:tr>
      <w:tr w:rsidR="00130D52" w:rsidRPr="00D0735B" w14:paraId="3C535C48" w14:textId="77777777" w:rsidTr="002D03C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F64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ABC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E5C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DA7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</w:p>
        </w:tc>
      </w:tr>
      <w:tr w:rsidR="00130D52" w:rsidRPr="00D0735B" w14:paraId="3B67D5D7" w14:textId="77777777" w:rsidTr="002D03C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FD1D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Mannen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1BE5" w14:textId="77777777" w:rsidR="00130D52" w:rsidRPr="00D0735B" w:rsidRDefault="00130D52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0735B">
              <w:rPr>
                <w:rFonts w:ascii="Calibri" w:eastAsia="Times New Roman" w:hAnsi="Calibri" w:cs="Calibri"/>
                <w:color w:val="000000"/>
                <w:lang w:eastAsia="nl-NL"/>
              </w:rPr>
              <w:t>≥ 18 jr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922A3" w14:textId="77777777" w:rsidR="00130D52" w:rsidRPr="00D0735B" w:rsidRDefault="000928F7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D08E" w14:textId="77777777" w:rsidR="00130D52" w:rsidRPr="00D0735B" w:rsidRDefault="000928F7" w:rsidP="00130D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15</w:t>
            </w:r>
          </w:p>
        </w:tc>
      </w:tr>
    </w:tbl>
    <w:p w14:paraId="1983757F" w14:textId="77777777" w:rsidR="000269DD" w:rsidRDefault="000269DD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633F3B30" w14:textId="47D3FDBF" w:rsidR="00BC765F" w:rsidRDefault="0090464F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Voor NT-pro-BNP is de</w:t>
      </w:r>
      <w:r w:rsidR="000928F7">
        <w:rPr>
          <w:rFonts w:eastAsia="Times New Roman" w:cstheme="minorHAnsi"/>
          <w:color w:val="000000"/>
          <w:lang w:eastAsia="nl-NL"/>
        </w:rPr>
        <w:t xml:space="preserve"> referentiewaarde </w:t>
      </w:r>
      <w:r>
        <w:rPr>
          <w:rFonts w:eastAsia="Times New Roman" w:cstheme="minorHAnsi"/>
          <w:color w:val="000000"/>
          <w:lang w:eastAsia="nl-NL"/>
        </w:rPr>
        <w:t xml:space="preserve">tevens </w:t>
      </w:r>
      <w:r w:rsidR="000928F7">
        <w:rPr>
          <w:rFonts w:eastAsia="Times New Roman" w:cstheme="minorHAnsi"/>
          <w:color w:val="000000"/>
          <w:lang w:eastAsia="nl-NL"/>
        </w:rPr>
        <w:t>de besli</w:t>
      </w:r>
      <w:r w:rsidR="004B121D">
        <w:rPr>
          <w:rFonts w:eastAsia="Times New Roman" w:cstheme="minorHAnsi"/>
          <w:color w:val="000000"/>
          <w:lang w:eastAsia="nl-NL"/>
        </w:rPr>
        <w:t>s</w:t>
      </w:r>
      <w:r w:rsidR="000928F7">
        <w:rPr>
          <w:rFonts w:eastAsia="Times New Roman" w:cstheme="minorHAnsi"/>
          <w:color w:val="000000"/>
          <w:lang w:eastAsia="nl-NL"/>
        </w:rPr>
        <w:t>grens</w:t>
      </w:r>
      <w:r>
        <w:rPr>
          <w:rFonts w:eastAsia="Times New Roman" w:cstheme="minorHAnsi"/>
          <w:color w:val="000000"/>
          <w:lang w:eastAsia="nl-NL"/>
        </w:rPr>
        <w:t xml:space="preserve"> voor het</w:t>
      </w:r>
      <w:r w:rsidR="000928F7">
        <w:rPr>
          <w:rFonts w:eastAsia="Times New Roman" w:cstheme="minorHAnsi"/>
          <w:color w:val="000000"/>
          <w:lang w:eastAsia="nl-NL"/>
        </w:rPr>
        <w:t xml:space="preserve"> uitsluiten </w:t>
      </w:r>
      <w:r>
        <w:rPr>
          <w:rFonts w:eastAsia="Times New Roman" w:cstheme="minorHAnsi"/>
          <w:color w:val="000000"/>
          <w:lang w:eastAsia="nl-NL"/>
        </w:rPr>
        <w:t xml:space="preserve">van </w:t>
      </w:r>
      <w:r w:rsidR="000928F7">
        <w:rPr>
          <w:rFonts w:eastAsia="Times New Roman" w:cstheme="minorHAnsi"/>
          <w:color w:val="000000"/>
          <w:lang w:eastAsia="nl-NL"/>
        </w:rPr>
        <w:t>hartfalen. Echter is de herkomst van de huidi</w:t>
      </w:r>
      <w:r>
        <w:rPr>
          <w:rFonts w:eastAsia="Times New Roman" w:cstheme="minorHAnsi"/>
          <w:color w:val="000000"/>
          <w:lang w:eastAsia="nl-NL"/>
        </w:rPr>
        <w:t xml:space="preserve">ge </w:t>
      </w:r>
      <w:r w:rsidR="000928F7">
        <w:rPr>
          <w:rFonts w:eastAsia="Times New Roman" w:cstheme="minorHAnsi"/>
          <w:color w:val="000000"/>
          <w:lang w:eastAsia="nl-NL"/>
        </w:rPr>
        <w:t xml:space="preserve">waarden slecht herleidbaar en niet conform de huidige richtlijnen </w:t>
      </w:r>
      <w:r w:rsidR="000928F7" w:rsidRPr="000928F7">
        <w:rPr>
          <w:rFonts w:eastAsia="Times New Roman" w:cstheme="minorHAnsi"/>
          <w:color w:val="000000"/>
          <w:lang w:eastAsia="nl-NL"/>
        </w:rPr>
        <w:t xml:space="preserve">NHG standaard Hartfalen (2021) en </w:t>
      </w:r>
      <w:r>
        <w:rPr>
          <w:rFonts w:eastAsia="Times New Roman" w:cstheme="minorHAnsi"/>
          <w:color w:val="000000"/>
          <w:lang w:eastAsia="nl-NL"/>
        </w:rPr>
        <w:t>ESC guideline heartfailure (</w:t>
      </w:r>
      <w:r w:rsidR="000928F7" w:rsidRPr="000928F7">
        <w:rPr>
          <w:rFonts w:eastAsia="Times New Roman" w:cstheme="minorHAnsi"/>
          <w:color w:val="000000"/>
          <w:lang w:eastAsia="nl-NL"/>
        </w:rPr>
        <w:t>2021</w:t>
      </w:r>
      <w:r>
        <w:rPr>
          <w:rFonts w:eastAsia="Times New Roman" w:cstheme="minorHAnsi"/>
          <w:color w:val="000000"/>
          <w:lang w:eastAsia="nl-NL"/>
        </w:rPr>
        <w:t>)</w:t>
      </w:r>
      <w:r w:rsidR="000928F7" w:rsidRPr="000928F7">
        <w:rPr>
          <w:rFonts w:eastAsia="Times New Roman" w:cstheme="minorHAnsi"/>
          <w:color w:val="000000"/>
          <w:lang w:eastAsia="nl-NL"/>
        </w:rPr>
        <w:t>.</w:t>
      </w:r>
      <w:r w:rsidR="000928F7">
        <w:rPr>
          <w:rFonts w:eastAsia="Times New Roman" w:cstheme="minorHAnsi"/>
          <w:color w:val="000000"/>
          <w:lang w:eastAsia="nl-NL"/>
        </w:rPr>
        <w:t xml:space="preserve"> Omdat dit kan leiden tot verwarring bij de interpretatie </w:t>
      </w:r>
      <w:r>
        <w:rPr>
          <w:rFonts w:eastAsia="Times New Roman" w:cstheme="minorHAnsi"/>
          <w:color w:val="000000"/>
          <w:lang w:eastAsia="nl-NL"/>
        </w:rPr>
        <w:t xml:space="preserve">zijn </w:t>
      </w:r>
      <w:r w:rsidR="000928F7">
        <w:rPr>
          <w:rFonts w:eastAsia="Times New Roman" w:cstheme="minorHAnsi"/>
          <w:color w:val="000000"/>
          <w:lang w:eastAsia="nl-NL"/>
        </w:rPr>
        <w:t>de referentiewaarden (besliswaarden) aangepast conform deze richtlijnen.</w:t>
      </w:r>
    </w:p>
    <w:p w14:paraId="0BCE872B" w14:textId="77777777" w:rsidR="00BC765F" w:rsidRDefault="00BC765F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0D243139" w14:textId="1F487E58" w:rsidR="0083267C" w:rsidRDefault="0090464F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Daarnaast</w:t>
      </w:r>
      <w:r w:rsidR="00ED471E">
        <w:rPr>
          <w:rFonts w:eastAsia="Times New Roman" w:cstheme="minorHAnsi"/>
          <w:color w:val="000000"/>
          <w:lang w:eastAsia="nl-NL"/>
        </w:rPr>
        <w:t>, o</w:t>
      </w:r>
      <w:r w:rsidR="000928F7">
        <w:rPr>
          <w:rFonts w:eastAsia="Times New Roman" w:cstheme="minorHAnsi"/>
          <w:color w:val="000000"/>
          <w:lang w:eastAsia="nl-NL"/>
        </w:rPr>
        <w:t>mdat er vo</w:t>
      </w:r>
      <w:r w:rsidR="004B121D">
        <w:rPr>
          <w:rFonts w:eastAsia="Times New Roman" w:cstheme="minorHAnsi"/>
          <w:color w:val="000000"/>
          <w:lang w:eastAsia="nl-NL"/>
        </w:rPr>
        <w:t>or acuut- en chronisch hartfalen andere beslisgrenzen gelden, zal de volgende opmerking bij de uitslag worden gerapporteerd:</w:t>
      </w:r>
    </w:p>
    <w:p w14:paraId="40811ED0" w14:textId="77777777" w:rsidR="004B121D" w:rsidRPr="004B121D" w:rsidRDefault="004B121D" w:rsidP="004B121D">
      <w:pPr>
        <w:shd w:val="clear" w:color="auto" w:fill="FFFFFF"/>
        <w:spacing w:after="0"/>
        <w:jc w:val="both"/>
        <w:rPr>
          <w:rFonts w:eastAsia="Times New Roman" w:cstheme="minorHAnsi"/>
          <w:i/>
          <w:color w:val="000000"/>
          <w:lang w:eastAsia="nl-NL"/>
        </w:rPr>
      </w:pPr>
      <w:r>
        <w:rPr>
          <w:rFonts w:eastAsia="Times New Roman" w:cstheme="minorHAnsi"/>
          <w:i/>
          <w:color w:val="000000"/>
          <w:lang w:eastAsia="nl-NL"/>
        </w:rPr>
        <w:t>“</w:t>
      </w:r>
      <w:r w:rsidRPr="004B121D">
        <w:rPr>
          <w:rFonts w:eastAsia="Times New Roman" w:cstheme="minorHAnsi"/>
          <w:i/>
          <w:color w:val="000000"/>
          <w:lang w:eastAsia="nl-NL"/>
        </w:rPr>
        <w:t>Beslisgrens chronisch hartfalen: 15 pmol/l</w:t>
      </w:r>
    </w:p>
    <w:p w14:paraId="3487F9DD" w14:textId="77777777" w:rsidR="004B121D" w:rsidRPr="004B121D" w:rsidRDefault="004B121D" w:rsidP="004B121D">
      <w:pPr>
        <w:shd w:val="clear" w:color="auto" w:fill="FFFFFF"/>
        <w:spacing w:after="0"/>
        <w:jc w:val="both"/>
        <w:rPr>
          <w:rFonts w:eastAsia="Times New Roman" w:cstheme="minorHAnsi"/>
          <w:i/>
          <w:color w:val="000000"/>
          <w:lang w:eastAsia="nl-NL"/>
        </w:rPr>
      </w:pPr>
      <w:r w:rsidRPr="004B121D">
        <w:rPr>
          <w:rFonts w:eastAsia="Times New Roman" w:cstheme="minorHAnsi"/>
          <w:i/>
          <w:color w:val="000000"/>
          <w:lang w:eastAsia="nl-NL"/>
        </w:rPr>
        <w:t>Beslisgrens acuut hartfalen: 35 pmol/l”</w:t>
      </w:r>
    </w:p>
    <w:p w14:paraId="5F896721" w14:textId="77777777" w:rsidR="002A79C3" w:rsidRDefault="002A79C3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354640A5" w14:textId="3B23C0F9" w:rsidR="004B121D" w:rsidRDefault="00ED471E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 xml:space="preserve">Bij gebruik van deze beslisgrenzen </w:t>
      </w:r>
      <w:r w:rsidR="002A79C3">
        <w:rPr>
          <w:rFonts w:eastAsia="Times New Roman" w:cstheme="minorHAnsi"/>
          <w:color w:val="000000"/>
          <w:lang w:eastAsia="nl-NL"/>
        </w:rPr>
        <w:t xml:space="preserve">moet in overweging worden genomen dat er </w:t>
      </w:r>
      <w:r w:rsidR="002A79C3" w:rsidRPr="002A79C3">
        <w:rPr>
          <w:rFonts w:eastAsia="Times New Roman" w:cstheme="minorHAnsi"/>
          <w:color w:val="000000"/>
          <w:lang w:eastAsia="nl-NL"/>
        </w:rPr>
        <w:t>niet cardiale factoren</w:t>
      </w:r>
      <w:r w:rsidR="002A79C3">
        <w:rPr>
          <w:rFonts w:eastAsia="Times New Roman" w:cstheme="minorHAnsi"/>
          <w:color w:val="000000"/>
          <w:lang w:eastAsia="nl-NL"/>
        </w:rPr>
        <w:t xml:space="preserve"> zijn</w:t>
      </w:r>
      <w:r w:rsidR="002A79C3" w:rsidRPr="002A79C3">
        <w:rPr>
          <w:rFonts w:eastAsia="Times New Roman" w:cstheme="minorHAnsi"/>
          <w:color w:val="000000"/>
          <w:lang w:eastAsia="nl-NL"/>
        </w:rPr>
        <w:t xml:space="preserve"> die de hoogte van NT</w:t>
      </w:r>
      <w:r w:rsidR="002A79C3">
        <w:rPr>
          <w:rFonts w:eastAsia="Times New Roman" w:cstheme="minorHAnsi"/>
          <w:color w:val="000000"/>
          <w:lang w:eastAsia="nl-NL"/>
        </w:rPr>
        <w:t>-</w:t>
      </w:r>
      <w:r w:rsidR="002A79C3" w:rsidRPr="002A79C3">
        <w:rPr>
          <w:rFonts w:eastAsia="Times New Roman" w:cstheme="minorHAnsi"/>
          <w:color w:val="000000"/>
          <w:lang w:eastAsia="nl-NL"/>
        </w:rPr>
        <w:t>pro</w:t>
      </w:r>
      <w:r w:rsidR="002A79C3">
        <w:rPr>
          <w:rFonts w:eastAsia="Times New Roman" w:cstheme="minorHAnsi"/>
          <w:color w:val="000000"/>
          <w:lang w:eastAsia="nl-NL"/>
        </w:rPr>
        <w:t>-</w:t>
      </w:r>
      <w:r w:rsidR="002A79C3" w:rsidRPr="002A79C3">
        <w:rPr>
          <w:rFonts w:eastAsia="Times New Roman" w:cstheme="minorHAnsi"/>
          <w:color w:val="000000"/>
          <w:lang w:eastAsia="nl-NL"/>
        </w:rPr>
        <w:t>BNP beïnvloeden</w:t>
      </w:r>
      <w:r w:rsidR="002A79C3">
        <w:rPr>
          <w:rFonts w:eastAsia="Times New Roman" w:cstheme="minorHAnsi"/>
          <w:color w:val="000000"/>
          <w:lang w:eastAsia="nl-NL"/>
        </w:rPr>
        <w:t xml:space="preserve">. </w:t>
      </w:r>
      <w:r w:rsidR="004B121D" w:rsidRPr="004B121D">
        <w:rPr>
          <w:rFonts w:eastAsia="Times New Roman" w:cstheme="minorHAnsi"/>
          <w:color w:val="000000"/>
          <w:lang w:eastAsia="nl-NL"/>
        </w:rPr>
        <w:t xml:space="preserve">Hartfalen, acuut of chronisch, blijft </w:t>
      </w:r>
      <w:r w:rsidR="002A79C3">
        <w:rPr>
          <w:rFonts w:eastAsia="Times New Roman" w:cstheme="minorHAnsi"/>
          <w:color w:val="000000"/>
          <w:lang w:eastAsia="nl-NL"/>
        </w:rPr>
        <w:t>dan ook</w:t>
      </w:r>
      <w:r w:rsidR="004B121D">
        <w:rPr>
          <w:rFonts w:eastAsia="Times New Roman" w:cstheme="minorHAnsi"/>
          <w:color w:val="000000"/>
          <w:lang w:eastAsia="nl-NL"/>
        </w:rPr>
        <w:t xml:space="preserve"> e</w:t>
      </w:r>
      <w:r w:rsidR="004B121D" w:rsidRPr="004B121D">
        <w:rPr>
          <w:rFonts w:eastAsia="Times New Roman" w:cstheme="minorHAnsi"/>
          <w:color w:val="000000"/>
          <w:lang w:eastAsia="nl-NL"/>
        </w:rPr>
        <w:t>en diagnose die gesteld moet worden o.b.v. een combinatie van lichamelijk - en aanvullend onderzoek</w:t>
      </w:r>
      <w:r w:rsidR="004B121D">
        <w:rPr>
          <w:rFonts w:eastAsia="Times New Roman" w:cstheme="minorHAnsi"/>
          <w:color w:val="000000"/>
          <w:lang w:eastAsia="nl-NL"/>
        </w:rPr>
        <w:t>.</w:t>
      </w:r>
      <w:bookmarkStart w:id="0" w:name="_GoBack"/>
      <w:bookmarkEnd w:id="0"/>
    </w:p>
    <w:p w14:paraId="632AC3BE" w14:textId="77777777" w:rsidR="004B121D" w:rsidRDefault="004B121D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7AA44D00" w14:textId="77777777" w:rsidR="00327CF1" w:rsidRPr="00D0735B" w:rsidRDefault="00327CF1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  <w:r w:rsidRPr="00D0735B">
        <w:rPr>
          <w:rFonts w:eastAsia="Times New Roman" w:cstheme="minorHAnsi"/>
          <w:color w:val="000000"/>
          <w:lang w:eastAsia="nl-NL"/>
        </w:rPr>
        <w:t xml:space="preserve">Voor </w:t>
      </w:r>
      <w:r w:rsidR="00D25334" w:rsidRPr="00D0735B">
        <w:rPr>
          <w:rFonts w:eastAsia="Times New Roman" w:cstheme="minorHAnsi"/>
          <w:color w:val="000000"/>
          <w:lang w:eastAsia="nl-NL"/>
        </w:rPr>
        <w:t>nadere informatie</w:t>
      </w:r>
      <w:r w:rsidRPr="00D0735B">
        <w:rPr>
          <w:rFonts w:eastAsia="Times New Roman" w:cstheme="minorHAnsi"/>
          <w:color w:val="000000"/>
          <w:lang w:eastAsia="nl-NL"/>
        </w:rPr>
        <w:t xml:space="preserve"> kunt u contact opnemen </w:t>
      </w:r>
      <w:r w:rsidR="0011713F" w:rsidRPr="00D0735B">
        <w:rPr>
          <w:rFonts w:eastAsia="Times New Roman" w:cstheme="minorHAnsi"/>
          <w:color w:val="000000"/>
          <w:lang w:eastAsia="nl-NL"/>
        </w:rPr>
        <w:t xml:space="preserve">met </w:t>
      </w:r>
      <w:r w:rsidR="00F50109" w:rsidRPr="00D0735B">
        <w:rPr>
          <w:rFonts w:eastAsia="Times New Roman" w:cstheme="minorHAnsi"/>
          <w:color w:val="000000"/>
          <w:lang w:eastAsia="nl-NL"/>
        </w:rPr>
        <w:t>onder</w:t>
      </w:r>
      <w:r w:rsidR="0011713F" w:rsidRPr="00D0735B">
        <w:rPr>
          <w:rFonts w:eastAsia="Times New Roman" w:cstheme="minorHAnsi"/>
          <w:color w:val="000000"/>
          <w:lang w:eastAsia="nl-NL"/>
        </w:rPr>
        <w:t>ge</w:t>
      </w:r>
      <w:r w:rsidR="00F50109" w:rsidRPr="00D0735B">
        <w:rPr>
          <w:rFonts w:eastAsia="Times New Roman" w:cstheme="minorHAnsi"/>
          <w:color w:val="000000"/>
          <w:lang w:eastAsia="nl-NL"/>
        </w:rPr>
        <w:t xml:space="preserve">tekenden, of </w:t>
      </w:r>
      <w:r w:rsidRPr="00D0735B">
        <w:rPr>
          <w:rFonts w:eastAsia="Times New Roman" w:cstheme="minorHAnsi"/>
          <w:color w:val="000000"/>
          <w:lang w:eastAsia="nl-NL"/>
        </w:rPr>
        <w:t>de klinisch chemicus op uw locatie.</w:t>
      </w:r>
    </w:p>
    <w:p w14:paraId="0C2AF84F" w14:textId="77777777" w:rsidR="00F50109" w:rsidRPr="00D0735B" w:rsidRDefault="00F50109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67849330" w14:textId="77777777" w:rsidR="002D03C2" w:rsidRPr="00D0735B" w:rsidRDefault="00EB7DEF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  <w:r w:rsidRPr="00D0735B">
        <w:rPr>
          <w:rFonts w:eastAsia="Times New Roman" w:cstheme="minorHAnsi"/>
          <w:color w:val="000000"/>
          <w:lang w:eastAsia="nl-NL"/>
        </w:rPr>
        <w:t>Martine Deckers</w:t>
      </w:r>
      <w:r w:rsidR="00755CDF" w:rsidRPr="00D0735B">
        <w:rPr>
          <w:rFonts w:eastAsia="Times New Roman" w:cstheme="minorHAnsi"/>
          <w:color w:val="000000"/>
          <w:lang w:eastAsia="nl-NL"/>
        </w:rPr>
        <w:t xml:space="preserve"> en Prim de Bie</w:t>
      </w:r>
      <w:r w:rsidRPr="00D0735B">
        <w:rPr>
          <w:rFonts w:eastAsia="Times New Roman" w:cstheme="minorHAnsi"/>
          <w:color w:val="000000"/>
          <w:lang w:eastAsia="nl-NL"/>
        </w:rPr>
        <w:t>,</w:t>
      </w:r>
    </w:p>
    <w:p w14:paraId="640F83E2" w14:textId="77777777" w:rsidR="00755CDF" w:rsidRPr="00D0735B" w:rsidRDefault="00EB7DEF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  <w:r w:rsidRPr="00D0735B">
        <w:rPr>
          <w:rFonts w:eastAsia="Times New Roman" w:cstheme="minorHAnsi"/>
          <w:color w:val="000000"/>
          <w:lang w:eastAsia="nl-NL"/>
        </w:rPr>
        <w:t xml:space="preserve"> </w:t>
      </w:r>
      <w:r w:rsidRPr="00D0735B">
        <w:rPr>
          <w:rFonts w:eastAsia="Times New Roman" w:cstheme="minorHAnsi"/>
          <w:color w:val="000000"/>
          <w:lang w:eastAsia="nl-NL"/>
        </w:rPr>
        <w:br/>
      </w:r>
      <w:r w:rsidR="00755CDF" w:rsidRPr="00D0735B">
        <w:rPr>
          <w:rFonts w:eastAsia="Times New Roman" w:cstheme="minorHAnsi"/>
          <w:color w:val="000000"/>
          <w:lang w:eastAsia="nl-NL"/>
        </w:rPr>
        <w:t>Specialisten klinische chemie &amp; laboratoriumgeneeskunde OLVG Lab BV</w:t>
      </w:r>
    </w:p>
    <w:p w14:paraId="42436113" w14:textId="31425C87" w:rsidR="00A20E38" w:rsidRDefault="00A20E38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59E46229" w14:textId="77777777" w:rsidR="00E04E66" w:rsidRPr="00D0735B" w:rsidRDefault="00E04E66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nl-NL"/>
        </w:rPr>
      </w:pPr>
    </w:p>
    <w:p w14:paraId="67548EA3" w14:textId="77777777" w:rsidR="00F15521" w:rsidRPr="00E04E66" w:rsidRDefault="00F15521" w:rsidP="002D03C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04E66">
        <w:rPr>
          <w:rFonts w:eastAsia="Times New Roman" w:cstheme="minorHAnsi"/>
          <w:color w:val="000000"/>
          <w:sz w:val="20"/>
          <w:szCs w:val="20"/>
          <w:lang w:eastAsia="nl-NL"/>
        </w:rPr>
        <w:t>Referenties:</w:t>
      </w:r>
    </w:p>
    <w:p w14:paraId="31F0DF61" w14:textId="44994E09" w:rsidR="004B121D" w:rsidRPr="00E04E66" w:rsidRDefault="00C505CD" w:rsidP="00C505CD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04E66">
        <w:rPr>
          <w:rFonts w:eastAsia="Times New Roman" w:cstheme="minorHAnsi"/>
          <w:color w:val="000000"/>
          <w:sz w:val="20"/>
          <w:szCs w:val="20"/>
          <w:lang w:eastAsia="nl-NL"/>
        </w:rPr>
        <w:t>1</w:t>
      </w:r>
      <w:r w:rsidR="00ED471E" w:rsidRPr="00E04E66">
        <w:rPr>
          <w:rFonts w:eastAsia="Times New Roman" w:cstheme="minorHAnsi"/>
          <w:color w:val="000000"/>
          <w:sz w:val="20"/>
          <w:szCs w:val="20"/>
          <w:lang w:eastAsia="nl-NL"/>
        </w:rPr>
        <w:t xml:space="preserve">. </w:t>
      </w:r>
      <w:r w:rsidR="004B121D" w:rsidRPr="00E04E66">
        <w:rPr>
          <w:rFonts w:eastAsia="Times New Roman" w:cstheme="minorHAnsi"/>
          <w:color w:val="000000"/>
          <w:sz w:val="20"/>
          <w:szCs w:val="20"/>
          <w:lang w:eastAsia="nl-NL"/>
        </w:rPr>
        <w:t xml:space="preserve">De Boer RA, </w:t>
      </w:r>
      <w:r w:rsidR="005E1396" w:rsidRPr="00E04E66">
        <w:rPr>
          <w:rFonts w:eastAsia="Times New Roman" w:cstheme="minorHAnsi"/>
          <w:color w:val="000000"/>
          <w:sz w:val="20"/>
          <w:szCs w:val="20"/>
          <w:lang w:eastAsia="nl-NL"/>
        </w:rPr>
        <w:t>et al.</w:t>
      </w:r>
      <w:r w:rsidR="002A79C3" w:rsidRPr="00E04E66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</w:t>
      </w:r>
      <w:r w:rsidR="00ED471E" w:rsidRPr="00E04E66">
        <w:rPr>
          <w:rFonts w:eastAsia="Times New Roman" w:cstheme="minorHAnsi"/>
          <w:color w:val="000000"/>
          <w:sz w:val="20"/>
          <w:szCs w:val="20"/>
          <w:lang w:eastAsia="nl-NL"/>
        </w:rPr>
        <w:t>NHG standard Hartfalen M51.</w:t>
      </w:r>
      <w:r w:rsidR="00E04E66" w:rsidRPr="00E04E66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</w:t>
      </w:r>
      <w:r w:rsidR="00E04E66" w:rsidRPr="00E04E66">
        <w:rPr>
          <w:rFonts w:eastAsia="Times New Roman" w:cstheme="minorHAnsi"/>
          <w:color w:val="000000"/>
          <w:sz w:val="20"/>
          <w:szCs w:val="20"/>
          <w:lang w:eastAsia="nl-NL"/>
        </w:rPr>
        <w:t>Mei 2021</w:t>
      </w:r>
      <w:r w:rsidR="00E04E66" w:rsidRPr="00E04E66">
        <w:rPr>
          <w:rFonts w:eastAsia="Times New Roman" w:cstheme="minorHAnsi"/>
          <w:color w:val="000000"/>
          <w:sz w:val="20"/>
          <w:szCs w:val="20"/>
          <w:lang w:eastAsia="nl-NL"/>
        </w:rPr>
        <w:t>.</w:t>
      </w:r>
    </w:p>
    <w:p w14:paraId="00B64FC1" w14:textId="17CDA3F3" w:rsidR="00C505CD" w:rsidRPr="00E04E66" w:rsidRDefault="002A79C3" w:rsidP="002A79C3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04E66">
        <w:rPr>
          <w:rFonts w:eastAsia="Times New Roman" w:cstheme="minorHAnsi"/>
          <w:color w:val="000000"/>
          <w:sz w:val="20"/>
          <w:szCs w:val="20"/>
          <w:lang w:eastAsia="nl-NL"/>
        </w:rPr>
        <w:t>2. McDonagh TA</w:t>
      </w:r>
      <w:r w:rsidR="005E1396" w:rsidRPr="00E04E66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et al. </w:t>
      </w:r>
      <w:r w:rsidRPr="00E04E66">
        <w:rPr>
          <w:rFonts w:eastAsia="Times New Roman" w:cstheme="minorHAnsi"/>
          <w:color w:val="000000"/>
          <w:sz w:val="20"/>
          <w:szCs w:val="20"/>
          <w:lang w:val="en-GB" w:eastAsia="nl-NL"/>
        </w:rPr>
        <w:t xml:space="preserve">ESC Scientific Document Group. </w:t>
      </w:r>
      <w:r w:rsidRPr="00E04E66">
        <w:rPr>
          <w:rFonts w:eastAsia="Times New Roman" w:cstheme="minorHAnsi"/>
          <w:color w:val="000000"/>
          <w:sz w:val="20"/>
          <w:szCs w:val="20"/>
          <w:lang w:val="en-US" w:eastAsia="nl-NL"/>
        </w:rPr>
        <w:t xml:space="preserve">2021 ESC Guidelines for the diagnosis and treatment of acute and chronic heart failure. </w:t>
      </w:r>
      <w:r w:rsidRPr="00E04E66">
        <w:rPr>
          <w:rFonts w:eastAsia="Times New Roman" w:cstheme="minorHAnsi"/>
          <w:color w:val="000000"/>
          <w:sz w:val="20"/>
          <w:szCs w:val="20"/>
          <w:lang w:eastAsia="nl-NL"/>
        </w:rPr>
        <w:t>Eur Heart J. 2021 Sep 21;42(36):3599-3726. doi: 10.1093/eurheartj/ehab368. Erratum in: Eur Heart J. 2021 Dec 21;42(48):4901. doi: 10.1093/eurheartj/ehab670. PMID: 34447992.</w:t>
      </w:r>
    </w:p>
    <w:sectPr w:rsidR="00C505CD" w:rsidRPr="00E04E66" w:rsidSect="00E04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ECE86" w14:textId="77777777" w:rsidR="00D80917" w:rsidRDefault="00D80917" w:rsidP="00C505CD">
      <w:pPr>
        <w:spacing w:after="0" w:line="240" w:lineRule="auto"/>
      </w:pPr>
      <w:r>
        <w:separator/>
      </w:r>
    </w:p>
  </w:endnote>
  <w:endnote w:type="continuationSeparator" w:id="0">
    <w:p w14:paraId="242AB39E" w14:textId="77777777" w:rsidR="00D80917" w:rsidRDefault="00D80917" w:rsidP="00C5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3C0E4" w14:textId="77777777" w:rsidR="00C505CD" w:rsidRDefault="00C505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01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0E81F" w14:textId="6B4B5951" w:rsidR="00C505CD" w:rsidRDefault="00654188" w:rsidP="00654188">
            <w:pPr>
              <w:pStyle w:val="Voettekst"/>
            </w:pPr>
            <w:r w:rsidRPr="00654188">
              <w:t>Informatiebrief a</w:t>
            </w:r>
            <w:r w:rsidRPr="00654188">
              <w:rPr>
                <w:rFonts w:eastAsia="Times New Roman" w:cstheme="minorHAnsi"/>
                <w:bCs/>
                <w:lang w:eastAsia="nl-NL"/>
              </w:rPr>
              <w:t xml:space="preserve">anpassing  referentiewaarden </w:t>
            </w:r>
            <w:r w:rsidR="002A79C3">
              <w:rPr>
                <w:rFonts w:eastAsia="Times New Roman" w:cstheme="minorHAnsi"/>
                <w:bCs/>
                <w:lang w:eastAsia="nl-NL"/>
              </w:rPr>
              <w:t>NT-pro-BNP</w:t>
            </w:r>
            <w:r>
              <w:tab/>
            </w:r>
            <w:r w:rsidR="00C505CD">
              <w:t xml:space="preserve">Pagina </w:t>
            </w:r>
            <w:r w:rsidR="00C505CD">
              <w:rPr>
                <w:b/>
                <w:bCs/>
                <w:sz w:val="24"/>
                <w:szCs w:val="24"/>
              </w:rPr>
              <w:fldChar w:fldCharType="begin"/>
            </w:r>
            <w:r w:rsidR="00C505CD">
              <w:rPr>
                <w:b/>
                <w:bCs/>
              </w:rPr>
              <w:instrText>PAGE</w:instrText>
            </w:r>
            <w:r w:rsidR="00C505CD">
              <w:rPr>
                <w:b/>
                <w:bCs/>
                <w:sz w:val="24"/>
                <w:szCs w:val="24"/>
              </w:rPr>
              <w:fldChar w:fldCharType="separate"/>
            </w:r>
            <w:r w:rsidR="00E04E66">
              <w:rPr>
                <w:b/>
                <w:bCs/>
                <w:noProof/>
              </w:rPr>
              <w:t>1</w:t>
            </w:r>
            <w:r w:rsidR="00C505CD">
              <w:rPr>
                <w:b/>
                <w:bCs/>
                <w:sz w:val="24"/>
                <w:szCs w:val="24"/>
              </w:rPr>
              <w:fldChar w:fldCharType="end"/>
            </w:r>
            <w:r w:rsidR="00C505CD">
              <w:t xml:space="preserve"> van </w:t>
            </w:r>
            <w:r w:rsidR="00C505CD">
              <w:rPr>
                <w:b/>
                <w:bCs/>
                <w:sz w:val="24"/>
                <w:szCs w:val="24"/>
              </w:rPr>
              <w:fldChar w:fldCharType="begin"/>
            </w:r>
            <w:r w:rsidR="00C505CD">
              <w:rPr>
                <w:b/>
                <w:bCs/>
              </w:rPr>
              <w:instrText>NUMPAGES</w:instrText>
            </w:r>
            <w:r w:rsidR="00C505CD">
              <w:rPr>
                <w:b/>
                <w:bCs/>
                <w:sz w:val="24"/>
                <w:szCs w:val="24"/>
              </w:rPr>
              <w:fldChar w:fldCharType="separate"/>
            </w:r>
            <w:r w:rsidR="00E04E66">
              <w:rPr>
                <w:b/>
                <w:bCs/>
                <w:noProof/>
              </w:rPr>
              <w:t>1</w:t>
            </w:r>
            <w:r w:rsidR="00C505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F5C41A" w14:textId="77777777" w:rsidR="00C505CD" w:rsidRPr="00C505CD" w:rsidRDefault="00C505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7DF3" w14:textId="77777777" w:rsidR="00C505CD" w:rsidRDefault="00C505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D8529" w14:textId="77777777" w:rsidR="00D80917" w:rsidRDefault="00D80917" w:rsidP="00C505CD">
      <w:pPr>
        <w:spacing w:after="0" w:line="240" w:lineRule="auto"/>
      </w:pPr>
      <w:r>
        <w:separator/>
      </w:r>
    </w:p>
  </w:footnote>
  <w:footnote w:type="continuationSeparator" w:id="0">
    <w:p w14:paraId="22D5D1F8" w14:textId="77777777" w:rsidR="00D80917" w:rsidRDefault="00D80917" w:rsidP="00C5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D66F" w14:textId="77777777" w:rsidR="00C505CD" w:rsidRDefault="00C505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FA2A" w14:textId="77777777" w:rsidR="00C505CD" w:rsidRDefault="00C505C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186D0" w14:textId="77777777" w:rsidR="00C505CD" w:rsidRDefault="00C505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6E0F"/>
    <w:multiLevelType w:val="hybridMultilevel"/>
    <w:tmpl w:val="ADAAFC30"/>
    <w:lvl w:ilvl="0" w:tplc="9C62079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23377B"/>
    <w:multiLevelType w:val="hybridMultilevel"/>
    <w:tmpl w:val="9E20B3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6D96"/>
    <w:multiLevelType w:val="hybridMultilevel"/>
    <w:tmpl w:val="2ADEF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01F64"/>
    <w:multiLevelType w:val="multilevel"/>
    <w:tmpl w:val="0FB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BE"/>
    <w:rsid w:val="000269DD"/>
    <w:rsid w:val="00031934"/>
    <w:rsid w:val="00041ACD"/>
    <w:rsid w:val="00060956"/>
    <w:rsid w:val="000928F7"/>
    <w:rsid w:val="000E4D12"/>
    <w:rsid w:val="000F0534"/>
    <w:rsid w:val="0011713F"/>
    <w:rsid w:val="00130D52"/>
    <w:rsid w:val="0016714D"/>
    <w:rsid w:val="00177C6E"/>
    <w:rsid w:val="00191391"/>
    <w:rsid w:val="001B2AB2"/>
    <w:rsid w:val="001D5593"/>
    <w:rsid w:val="001F2D6A"/>
    <w:rsid w:val="00272AC1"/>
    <w:rsid w:val="00295F3B"/>
    <w:rsid w:val="002A79C3"/>
    <w:rsid w:val="002D03C2"/>
    <w:rsid w:val="00300873"/>
    <w:rsid w:val="0031489E"/>
    <w:rsid w:val="00327CF1"/>
    <w:rsid w:val="0036731A"/>
    <w:rsid w:val="00471E2C"/>
    <w:rsid w:val="004B121D"/>
    <w:rsid w:val="004C5915"/>
    <w:rsid w:val="00520449"/>
    <w:rsid w:val="005B453B"/>
    <w:rsid w:val="005E1396"/>
    <w:rsid w:val="00601379"/>
    <w:rsid w:val="006077DE"/>
    <w:rsid w:val="00624C8C"/>
    <w:rsid w:val="0064668F"/>
    <w:rsid w:val="00654188"/>
    <w:rsid w:val="0071256D"/>
    <w:rsid w:val="00755CDF"/>
    <w:rsid w:val="007802E2"/>
    <w:rsid w:val="00824455"/>
    <w:rsid w:val="0083267C"/>
    <w:rsid w:val="008626DE"/>
    <w:rsid w:val="008C423E"/>
    <w:rsid w:val="0090464F"/>
    <w:rsid w:val="00931BBE"/>
    <w:rsid w:val="00945BF5"/>
    <w:rsid w:val="00952BD3"/>
    <w:rsid w:val="00A20E38"/>
    <w:rsid w:val="00B36BC3"/>
    <w:rsid w:val="00B4066A"/>
    <w:rsid w:val="00B80788"/>
    <w:rsid w:val="00BC765F"/>
    <w:rsid w:val="00C452C4"/>
    <w:rsid w:val="00C505CD"/>
    <w:rsid w:val="00C911EB"/>
    <w:rsid w:val="00CB6788"/>
    <w:rsid w:val="00CC11BE"/>
    <w:rsid w:val="00CD0FC8"/>
    <w:rsid w:val="00D0735B"/>
    <w:rsid w:val="00D25334"/>
    <w:rsid w:val="00D5345E"/>
    <w:rsid w:val="00D80917"/>
    <w:rsid w:val="00DB283D"/>
    <w:rsid w:val="00DF04C2"/>
    <w:rsid w:val="00DF09DA"/>
    <w:rsid w:val="00E04E66"/>
    <w:rsid w:val="00E637E6"/>
    <w:rsid w:val="00E82089"/>
    <w:rsid w:val="00EB7DEF"/>
    <w:rsid w:val="00ED471E"/>
    <w:rsid w:val="00F15521"/>
    <w:rsid w:val="00F36EF8"/>
    <w:rsid w:val="00F5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6CDA"/>
  <w15:docId w15:val="{40A9E3FE-CDD7-489D-9A2F-45E9CCC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31BB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31BBE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27C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7C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7C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7C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7CF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7CF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F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044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05CD"/>
  </w:style>
  <w:style w:type="paragraph" w:styleId="Voettekst">
    <w:name w:val="footer"/>
    <w:basedOn w:val="Standaard"/>
    <w:link w:val="VoettekstChar"/>
    <w:uiPriority w:val="99"/>
    <w:unhideWhenUsed/>
    <w:rsid w:val="00C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535">
          <w:marLeft w:val="3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Sint Lucas Andreas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Deckers, MML (vakgroep Klinische Chemie)</dc:creator>
  <cp:lastModifiedBy>Bie, Prim de</cp:lastModifiedBy>
  <cp:revision>2</cp:revision>
  <cp:lastPrinted>2019-05-22T07:08:00Z</cp:lastPrinted>
  <dcterms:created xsi:type="dcterms:W3CDTF">2024-09-18T12:47:00Z</dcterms:created>
  <dcterms:modified xsi:type="dcterms:W3CDTF">2024-09-18T12:47:00Z</dcterms:modified>
</cp:coreProperties>
</file>